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4"/>
          <w:szCs w:val="24"/>
          <w:u w:val="single"/>
        </w:rPr>
      </w:pPr>
      <w:r w:rsidDel="00000000" w:rsidR="00000000" w:rsidRPr="00000000">
        <w:rPr>
          <w:sz w:val="24"/>
          <w:szCs w:val="24"/>
          <w:u w:val="single"/>
          <w:rtl w:val="0"/>
        </w:rPr>
        <w:t xml:space="preserve">Resolution approved by the Board of Directors of </w:t>
      </w:r>
      <w:r w:rsidDel="00000000" w:rsidR="00000000" w:rsidRPr="00000000">
        <w:rPr>
          <w:sz w:val="24"/>
          <w:szCs w:val="24"/>
          <w:u w:val="single"/>
          <w:rtl w:val="0"/>
        </w:rPr>
        <w:t xml:space="preserve">M/s.                               on “ Date………..”</w:t>
      </w:r>
    </w:p>
    <w:p w:rsidR="00000000" w:rsidDel="00000000" w:rsidP="00000000" w:rsidRDefault="00000000" w:rsidRPr="00000000" w14:paraId="00000002">
      <w:pPr>
        <w:jc w:val="both"/>
        <w:rPr>
          <w:sz w:val="24"/>
          <w:szCs w:val="24"/>
        </w:rPr>
      </w:pP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The undersigned, being the member of Board of Directors of M/s                    (herein after mentioned as </w:t>
      </w:r>
      <w:r w:rsidDel="00000000" w:rsidR="00000000" w:rsidRPr="00000000">
        <w:rPr>
          <w:b w:val="1"/>
          <w:sz w:val="24"/>
          <w:szCs w:val="24"/>
          <w:rtl w:val="0"/>
        </w:rPr>
        <w:t xml:space="preserve">“Company”), </w:t>
      </w:r>
      <w:r w:rsidDel="00000000" w:rsidR="00000000" w:rsidRPr="00000000">
        <w:rPr>
          <w:sz w:val="24"/>
          <w:szCs w:val="24"/>
          <w:rtl w:val="0"/>
        </w:rPr>
        <w:t xml:space="preserve"> a company established and registered under the laws of Sultanate of Oman, hereby consent to the adoption of the following resolution.</w:t>
      </w:r>
    </w:p>
    <w:p w:rsidR="00000000" w:rsidDel="00000000" w:rsidP="00000000" w:rsidRDefault="00000000" w:rsidRPr="00000000" w14:paraId="00000004">
      <w:pPr>
        <w:jc w:val="both"/>
        <w:rPr>
          <w:sz w:val="24"/>
          <w:szCs w:val="24"/>
        </w:rPr>
      </w:pPr>
      <w:r w:rsidDel="00000000" w:rsidR="00000000" w:rsidRPr="00000000">
        <w:rPr>
          <w:b w:val="1"/>
          <w:sz w:val="24"/>
          <w:szCs w:val="24"/>
          <w:rtl w:val="0"/>
        </w:rPr>
        <w:t xml:space="preserve">Resolved that </w:t>
      </w:r>
      <w:r w:rsidDel="00000000" w:rsidR="00000000" w:rsidRPr="00000000">
        <w:rPr>
          <w:sz w:val="24"/>
          <w:szCs w:val="24"/>
          <w:rtl w:val="0"/>
        </w:rPr>
        <w:t xml:space="preserve">the Company to avail Internet banking services for all accounts with Bank Nizwa ( the </w:t>
      </w:r>
      <w:r w:rsidDel="00000000" w:rsidR="00000000" w:rsidRPr="00000000">
        <w:rPr>
          <w:b w:val="1"/>
          <w:sz w:val="24"/>
          <w:szCs w:val="24"/>
          <w:rtl w:val="0"/>
        </w:rPr>
        <w:t xml:space="preserve">“Bank”</w:t>
      </w:r>
      <w:r w:rsidDel="00000000" w:rsidR="00000000" w:rsidRPr="00000000">
        <w:rPr>
          <w:sz w:val="24"/>
          <w:szCs w:val="24"/>
          <w:rtl w:val="0"/>
        </w:rPr>
        <w:t xml:space="preserve">) and the Company do accept such terms, conditions, stipulations laid down by the Bank from time to time for the purpose.</w:t>
      </w:r>
    </w:p>
    <w:p w:rsidR="00000000" w:rsidDel="00000000" w:rsidP="00000000" w:rsidRDefault="00000000" w:rsidRPr="00000000" w14:paraId="00000005">
      <w:pPr>
        <w:jc w:val="both"/>
        <w:rPr/>
      </w:pPr>
      <w:r w:rsidDel="00000000" w:rsidR="00000000" w:rsidRPr="00000000">
        <w:rPr>
          <w:b w:val="1"/>
          <w:sz w:val="24"/>
          <w:szCs w:val="24"/>
          <w:rtl w:val="0"/>
        </w:rPr>
        <w:t xml:space="preserve">Resolved further that</w:t>
      </w:r>
      <w:r w:rsidDel="00000000" w:rsidR="00000000" w:rsidRPr="00000000">
        <w:rPr>
          <w:rtl w:val="0"/>
        </w:rPr>
        <w:t xml:space="preserve"> any two of the following officials jointly are authorized to handle responsibilities of </w:t>
      </w:r>
      <w:r w:rsidDel="00000000" w:rsidR="00000000" w:rsidRPr="00000000">
        <w:rPr>
          <w:b w:val="1"/>
          <w:rtl w:val="0"/>
        </w:rPr>
        <w:t xml:space="preserve">user management </w:t>
      </w:r>
      <w:r w:rsidDel="00000000" w:rsidR="00000000" w:rsidRPr="00000000">
        <w:rPr>
          <w:rtl w:val="0"/>
        </w:rPr>
        <w:t xml:space="preserve">roles in Internet Banking, to define various users in Internet Banking  with appropriate user rights.</w:t>
      </w:r>
    </w:p>
    <w:p w:rsidR="00000000" w:rsidDel="00000000" w:rsidP="00000000" w:rsidRDefault="00000000" w:rsidRPr="00000000" w14:paraId="00000006">
      <w:pPr>
        <w:jc w:val="both"/>
        <w:rPr>
          <w:b w:val="1"/>
          <w:u w:val="single"/>
        </w:rPr>
      </w:pPr>
      <w:r w:rsidDel="00000000" w:rsidR="00000000" w:rsidRPr="00000000">
        <w:rPr>
          <w:b w:val="1"/>
          <w:rtl w:val="0"/>
        </w:rPr>
        <w:t xml:space="preserve">User Management Rights</w:t>
      </w:r>
      <w:r w:rsidDel="00000000" w:rsidR="00000000" w:rsidRPr="00000000">
        <w:rPr>
          <w:rtl w:val="0"/>
        </w:rPr>
      </w:r>
    </w:p>
    <w:tbl>
      <w:tblPr>
        <w:tblStyle w:val="Table1"/>
        <w:tblW w:w="9710.0" w:type="dxa"/>
        <w:jc w:val="left"/>
        <w:tblLayout w:type="fixed"/>
        <w:tblLook w:val="0400"/>
      </w:tblPr>
      <w:tblGrid>
        <w:gridCol w:w="1536"/>
        <w:gridCol w:w="6284"/>
        <w:gridCol w:w="1890"/>
        <w:tblGridChange w:id="0">
          <w:tblGrid>
            <w:gridCol w:w="1536"/>
            <w:gridCol w:w="6284"/>
            <w:gridCol w:w="1890"/>
          </w:tblGrid>
        </w:tblGridChange>
      </w:tblGrid>
      <w:tr>
        <w:trPr>
          <w:cantSplit w:val="0"/>
          <w:trHeight w:val="397" w:hRule="atLeast"/>
          <w:tblHeader w:val="0"/>
        </w:trPr>
        <w:tc>
          <w:tcPr>
            <w:tcBorders>
              <w:top w:color="000000" w:space="0" w:sz="8" w:val="single"/>
              <w:left w:color="000000" w:space="0" w:sz="8"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07">
            <w:pPr>
              <w:spacing w:after="0" w:line="240" w:lineRule="auto"/>
              <w:ind w:left="360" w:firstLine="0"/>
              <w:rPr>
                <w:b w:val="1"/>
              </w:rPr>
            </w:pPr>
            <w:r w:rsidDel="00000000" w:rsidR="00000000" w:rsidRPr="00000000">
              <w:rPr>
                <w:b w:val="1"/>
                <w:rtl w:val="0"/>
              </w:rPr>
              <w:t xml:space="preserve">Role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after="0" w:line="240" w:lineRule="auto"/>
              <w:ind w:left="360" w:firstLine="0"/>
              <w:jc w:val="center"/>
              <w:rPr>
                <w:b w:val="1"/>
              </w:rPr>
            </w:pPr>
            <w:r w:rsidDel="00000000" w:rsidR="00000000" w:rsidRPr="00000000">
              <w:rPr>
                <w:b w:val="1"/>
                <w:rtl w:val="0"/>
              </w:rPr>
              <w:t xml:space="preserve">Name</w:t>
            </w:r>
          </w:p>
          <w:p w:rsidR="00000000" w:rsidDel="00000000" w:rsidP="00000000" w:rsidRDefault="00000000" w:rsidRPr="00000000" w14:paraId="00000009">
            <w:pPr>
              <w:spacing w:after="0" w:line="240" w:lineRule="auto"/>
              <w:ind w:left="360" w:firstLine="0"/>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240" w:lineRule="auto"/>
              <w:ind w:left="360" w:firstLine="0"/>
              <w:jc w:val="center"/>
              <w:rPr>
                <w:b w:val="1"/>
              </w:rPr>
            </w:pPr>
            <w:r w:rsidDel="00000000" w:rsidR="00000000" w:rsidRPr="00000000">
              <w:rPr>
                <w:b w:val="1"/>
                <w:rtl w:val="0"/>
              </w:rPr>
              <w:t xml:space="preserve">Signature</w:t>
            </w:r>
          </w:p>
          <w:p w:rsidR="00000000" w:rsidDel="00000000" w:rsidP="00000000" w:rsidRDefault="00000000" w:rsidRPr="00000000" w14:paraId="0000000B">
            <w:pPr>
              <w:spacing w:after="0" w:line="240" w:lineRule="auto"/>
              <w:ind w:left="360" w:firstLine="0"/>
              <w:jc w:val="center"/>
              <w:rPr>
                <w:b w:val="1"/>
              </w:rPr>
            </w:pPr>
            <w:r w:rsidDel="00000000" w:rsidR="00000000" w:rsidRPr="00000000">
              <w:rPr>
                <w:b w:val="1"/>
                <w:rtl w:val="0"/>
              </w:rPr>
              <w:t xml:space="preserve">(Optional)</w:t>
            </w:r>
          </w:p>
        </w:tc>
      </w:tr>
      <w:tr>
        <w:trPr>
          <w:cantSplit w:val="0"/>
          <w:trHeight w:val="106" w:hRule="atLeast"/>
          <w:tblHeader w:val="0"/>
        </w:trPr>
        <w:tc>
          <w:tcPr>
            <w:tcBorders>
              <w:top w:color="000000" w:space="0" w:sz="0" w:val="nil"/>
              <w:left w:color="000000" w:space="0" w:sz="8"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Admin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0" w:line="240" w:lineRule="auto"/>
              <w:jc w:val="center"/>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0" w:line="240" w:lineRule="auto"/>
              <w:rPr>
                <w:rFonts w:ascii="Arial" w:cs="Arial" w:eastAsia="Arial" w:hAnsi="Arial"/>
              </w:rPr>
            </w:pPr>
            <w:r w:rsidDel="00000000" w:rsidR="00000000" w:rsidRPr="00000000">
              <w:rPr>
                <w:rtl w:val="0"/>
              </w:rPr>
            </w:r>
          </w:p>
        </w:tc>
      </w:tr>
      <w:tr>
        <w:trPr>
          <w:cantSplit w:val="0"/>
          <w:trHeight w:val="1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Admin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after="0" w:line="240" w:lineRule="auto"/>
              <w:jc w:val="center"/>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after="0" w:line="240" w:lineRule="auto"/>
              <w:rPr>
                <w:rFonts w:ascii="Arial" w:cs="Arial" w:eastAsia="Arial" w:hAnsi="Arial"/>
              </w:rPr>
            </w:pPr>
            <w:r w:rsidDel="00000000" w:rsidR="00000000" w:rsidRPr="00000000">
              <w:rPr>
                <w:rtl w:val="0"/>
              </w:rPr>
            </w:r>
          </w:p>
        </w:tc>
      </w:tr>
      <w:tr>
        <w:trPr>
          <w:cantSplit w:val="0"/>
          <w:trHeight w:val="1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Admin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0" w:line="240" w:lineRule="auto"/>
              <w:jc w:val="center"/>
              <w:rPr>
                <w:rFonts w:ascii="Arial" w:cs="Arial" w:eastAsia="Arial" w:hAnsi="Arial"/>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b w:val="1"/>
          <w:sz w:val="24"/>
          <w:szCs w:val="24"/>
          <w:rtl w:val="0"/>
        </w:rPr>
        <w:t xml:space="preserve">Resolved further that</w:t>
      </w:r>
      <w:r w:rsidDel="00000000" w:rsidR="00000000" w:rsidRPr="00000000">
        <w:rPr>
          <w:rtl w:val="0"/>
        </w:rPr>
        <w:t xml:space="preserve"> the following officials are authorized to approve financial transactions in Internet Banking as per the approval workflow and transaction limits below.</w:t>
      </w:r>
      <w:r w:rsidDel="00000000" w:rsidR="00000000" w:rsidRPr="00000000">
        <w:rPr>
          <w:rtl w:val="0"/>
        </w:rPr>
      </w:r>
    </w:p>
    <w:p w:rsidR="00000000" w:rsidDel="00000000" w:rsidP="00000000" w:rsidRDefault="00000000" w:rsidRPr="00000000" w14:paraId="00000017">
      <w:pPr>
        <w:jc w:val="both"/>
        <w:rPr>
          <w:b w:val="1"/>
          <w:sz w:val="24"/>
          <w:szCs w:val="24"/>
        </w:rPr>
      </w:pPr>
      <w:r w:rsidDel="00000000" w:rsidR="00000000" w:rsidRPr="00000000">
        <w:rPr>
          <w:b w:val="1"/>
          <w:sz w:val="24"/>
          <w:szCs w:val="24"/>
          <w:rtl w:val="0"/>
        </w:rPr>
        <w:t xml:space="preserve">Financial Transaction Approval workflow by Authorized Officials</w:t>
      </w:r>
    </w:p>
    <w:tbl>
      <w:tblPr>
        <w:tblStyle w:val="Table2"/>
        <w:tblW w:w="9740.0" w:type="dxa"/>
        <w:jc w:val="left"/>
        <w:tblInd w:w="-10.0" w:type="dxa"/>
        <w:tblLayout w:type="fixed"/>
        <w:tblLook w:val="0400"/>
      </w:tblPr>
      <w:tblGrid>
        <w:gridCol w:w="1257"/>
        <w:gridCol w:w="2523"/>
        <w:gridCol w:w="4050"/>
        <w:gridCol w:w="1910"/>
        <w:tblGridChange w:id="0">
          <w:tblGrid>
            <w:gridCol w:w="1257"/>
            <w:gridCol w:w="2523"/>
            <w:gridCol w:w="4050"/>
            <w:gridCol w:w="1910"/>
          </w:tblGrid>
        </w:tblGridChange>
      </w:tblGrid>
      <w:tr>
        <w:trPr>
          <w:cantSplit w:val="0"/>
          <w:trHeight w:val="109" w:hRule="atLeast"/>
          <w:tblHeader w:val="0"/>
        </w:trPr>
        <w:tc>
          <w:tcPr>
            <w:tcBorders>
              <w:top w:color="000000" w:space="0" w:sz="8" w:val="single"/>
              <w:left w:color="000000" w:space="0" w:sz="8"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of Signatory</w:t>
            </w:r>
          </w:p>
        </w:tc>
        <w:tc>
          <w:tcPr>
            <w:tcBorders>
              <w:top w:color="000000" w:space="0" w:sz="8" w:val="single"/>
              <w:left w:color="000000" w:space="0" w:sz="4"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A">
            <w:pPr>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Limits and mode of operation</w:t>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1B">
            <w:pPr>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Signature (optional)</w:t>
            </w:r>
          </w:p>
        </w:tc>
      </w:tr>
      <w:tr>
        <w:trPr>
          <w:cantSplit w:val="0"/>
          <w:trHeight w:val="475" w:hRule="atLeast"/>
          <w:tblHeader w:val="0"/>
        </w:trPr>
        <w:tc>
          <w:tcPr>
            <w:tcBorders>
              <w:top w:color="000000" w:space="0" w:sz="0" w:val="nil"/>
              <w:left w:color="000000" w:space="0" w:sz="8"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tc>
        <w:tc>
          <w:tcPr>
            <w:tcBorders>
              <w:top w:color="000000" w:space="0" w:sz="0" w:val="nil"/>
              <w:left w:color="000000" w:space="0" w:sz="4"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1F">
            <w:pPr>
              <w:spacing w:after="0"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20">
            <w:pPr>
              <w:ind w:left="36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172" w:hRule="atLeast"/>
          <w:tblHeader w:val="0"/>
        </w:trPr>
        <w:tc>
          <w:tcPr>
            <w:tcBorders>
              <w:top w:color="000000" w:space="0" w:sz="0" w:val="nil"/>
              <w:left w:color="000000" w:space="0" w:sz="8"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p>
        </w:tc>
        <w:tc>
          <w:tcPr>
            <w:tcBorders>
              <w:top w:color="000000" w:space="0" w:sz="0" w:val="nil"/>
              <w:left w:color="000000" w:space="0" w:sz="4"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4">
            <w:pPr>
              <w:spacing w:after="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25">
            <w:pPr>
              <w:ind w:left="36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172" w:hRule="atLeast"/>
          <w:tblHeader w:val="0"/>
        </w:trPr>
        <w:tc>
          <w:tcPr>
            <w:tcBorders>
              <w:top w:color="000000" w:space="0" w:sz="0" w:val="nil"/>
              <w:left w:color="000000" w:space="0" w:sz="8" w:val="single"/>
              <w:bottom w:color="000000" w:space="0" w:sz="8" w:val="single"/>
              <w:right w:color="000000" w:space="0" w:sz="4" w:val="single"/>
            </w:tcBorders>
            <w:tcMar>
              <w:top w:w="0.0" w:type="dxa"/>
              <w:left w:w="108.0" w:type="dxa"/>
              <w:bottom w:w="0.0" w:type="dxa"/>
              <w:right w:w="108.0" w:type="dxa"/>
            </w:tcMar>
          </w:tcPr>
          <w:p w:rsidR="00000000" w:rsidDel="00000000" w:rsidP="00000000" w:rsidRDefault="00000000" w:rsidRPr="00000000" w14:paraId="0000002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p>
        </w:tc>
        <w:tc>
          <w:tcPr>
            <w:tcBorders>
              <w:top w:color="000000" w:space="0" w:sz="0" w:val="nil"/>
              <w:left w:color="000000" w:space="0" w:sz="4"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29">
            <w:pPr>
              <w:spacing w:after="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02A">
            <w:pPr>
              <w:ind w:left="360"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B">
            <w:pPr>
              <w:jc w:val="center"/>
              <w:rPr>
                <w:sz w:val="24"/>
                <w:szCs w:val="24"/>
              </w:rPr>
            </w:pPr>
            <w:r w:rsidDel="00000000" w:rsidR="00000000" w:rsidRPr="00000000">
              <w:rPr>
                <w:sz w:val="24"/>
                <w:szCs w:val="24"/>
                <w:rtl w:val="0"/>
              </w:rPr>
              <w:t xml:space="preserve">D</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C">
            <w:pPr>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D">
            <w:pPr>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E">
            <w:pPr>
              <w:jc w:val="both"/>
              <w:rPr>
                <w:sz w:val="24"/>
                <w:szCs w:val="24"/>
              </w:rPr>
            </w:pPr>
            <w:r w:rsidDel="00000000" w:rsidR="00000000" w:rsidRPr="00000000">
              <w:rPr>
                <w:rtl w:val="0"/>
              </w:rPr>
            </w:r>
          </w:p>
        </w:tc>
      </w:tr>
    </w:tbl>
    <w:p w:rsidR="00000000" w:rsidDel="00000000" w:rsidP="00000000" w:rsidRDefault="00000000" w:rsidRPr="00000000" w14:paraId="0000002F">
      <w:pPr>
        <w:jc w:val="both"/>
        <w:rPr>
          <w:b w:val="1"/>
          <w:sz w:val="24"/>
          <w:szCs w:val="24"/>
        </w:rPr>
      </w:pPr>
      <w:r w:rsidDel="00000000" w:rsidR="00000000" w:rsidRPr="00000000">
        <w:rPr>
          <w:rtl w:val="0"/>
        </w:rPr>
      </w:r>
    </w:p>
    <w:p w:rsidR="00000000" w:rsidDel="00000000" w:rsidP="00000000" w:rsidRDefault="00000000" w:rsidRPr="00000000" w14:paraId="00000030">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31">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32">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33">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34">
      <w:pPr>
        <w:jc w:val="both"/>
        <w:rPr>
          <w:b w:val="1"/>
          <w:sz w:val="24"/>
          <w:szCs w:val="24"/>
        </w:rPr>
      </w:pPr>
      <w:r w:rsidDel="00000000" w:rsidR="00000000" w:rsidRPr="00000000">
        <w:rPr>
          <w:b w:val="1"/>
          <w:sz w:val="24"/>
          <w:szCs w:val="24"/>
          <w:rtl w:val="0"/>
        </w:rPr>
        <w:t xml:space="preserve">Transaction Limits for internet banking are as per table below.</w:t>
      </w:r>
    </w:p>
    <w:tbl>
      <w:tblPr>
        <w:tblStyle w:val="Table3"/>
        <w:tblW w:w="8460.0" w:type="dxa"/>
        <w:jc w:val="left"/>
        <w:tblInd w:w="-10.0" w:type="dxa"/>
        <w:tblLayout w:type="fixed"/>
        <w:tblLook w:val="0400"/>
      </w:tblPr>
      <w:tblGrid>
        <w:gridCol w:w="5729"/>
        <w:gridCol w:w="2731"/>
        <w:tblGridChange w:id="0">
          <w:tblGrid>
            <w:gridCol w:w="5729"/>
            <w:gridCol w:w="2731"/>
          </w:tblGrid>
        </w:tblGridChange>
      </w:tblGrid>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5">
            <w:pPr>
              <w:spacing w:after="0"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Service Level Limits </w:t>
            </w:r>
          </w:p>
        </w:tc>
        <w:tc>
          <w:tcPr>
            <w:tcBorders>
              <w:top w:color="000000" w:space="0" w:sz="8" w:val="single"/>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6">
            <w:pPr>
              <w:spacing w:after="0" w:line="240" w:lineRule="auto"/>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Limit ( OMR)  </w:t>
            </w:r>
          </w:p>
        </w:tc>
      </w:tr>
      <w:tr>
        <w:trPr>
          <w:cantSplit w:val="0"/>
          <w:trHeight w:val="401"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Per Transfer Limit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401"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Customer level Daily Transfer Limit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401"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Account level  Daily Transfer Limit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401"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Own Account Transfers daily limit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3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401"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Within Bank Transfer daily limit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401"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Local Transfer Daily Limit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401"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Offshore Transfer Daily Limit</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401"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Bills &amp; PASI payment daily limit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401"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Salary Transfer limit per file</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r>
        <w:trPr>
          <w:cantSplit w:val="0"/>
          <w:trHeight w:val="401" w:hRule="atLeast"/>
          <w:tblHeader w:val="0"/>
        </w:trPr>
        <w:tc>
          <w:tcPr>
            <w:tcBorders>
              <w:top w:color="000000" w:space="0" w:sz="0" w:val="nil"/>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Company Monthly overall Transfer Limit  ( except salaries )</w:t>
            </w:r>
          </w:p>
        </w:tc>
        <w:tc>
          <w:tcPr>
            <w:tcBorders>
              <w:top w:color="000000" w:space="0" w:sz="0" w:val="nil"/>
              <w:left w:color="000000" w:space="0" w:sz="0" w:val="nil"/>
              <w:bottom w:color="000000" w:space="0" w:sz="8" w:val="single"/>
              <w:right w:color="000000" w:space="0" w:sz="8" w:val="single"/>
            </w:tcBorders>
            <w:shd w:fill="auto" w:val="clear"/>
            <w:vAlign w:val="center"/>
          </w:tcPr>
          <w:p w:rsidR="00000000" w:rsidDel="00000000" w:rsidP="00000000" w:rsidRDefault="00000000" w:rsidRPr="00000000" w14:paraId="0000004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r>
    </w:tbl>
    <w:p w:rsidR="00000000" w:rsidDel="00000000" w:rsidP="00000000" w:rsidRDefault="00000000" w:rsidRPr="00000000" w14:paraId="0000004B">
      <w:pPr>
        <w:jc w:val="both"/>
        <w:rPr>
          <w:b w:val="1"/>
          <w:sz w:val="24"/>
          <w:szCs w:val="24"/>
        </w:rPr>
      </w:pPr>
      <w:r w:rsidDel="00000000" w:rsidR="00000000" w:rsidRPr="00000000">
        <w:rPr>
          <w:rtl w:val="0"/>
        </w:rPr>
      </w:r>
    </w:p>
    <w:p w:rsidR="00000000" w:rsidDel="00000000" w:rsidP="00000000" w:rsidRDefault="00000000" w:rsidRPr="00000000" w14:paraId="0000004C">
      <w:pPr>
        <w:jc w:val="both"/>
        <w:rPr>
          <w:sz w:val="24"/>
          <w:szCs w:val="24"/>
        </w:rPr>
      </w:pPr>
      <w:r w:rsidDel="00000000" w:rsidR="00000000" w:rsidRPr="00000000">
        <w:rPr>
          <w:b w:val="1"/>
          <w:sz w:val="24"/>
          <w:szCs w:val="24"/>
          <w:rtl w:val="0"/>
        </w:rPr>
        <w:t xml:space="preserve">Resolved further that</w:t>
      </w:r>
      <w:r w:rsidDel="00000000" w:rsidR="00000000" w:rsidRPr="00000000">
        <w:rPr>
          <w:rtl w:val="0"/>
        </w:rPr>
        <w:t xml:space="preserve"> </w:t>
      </w:r>
      <w:r w:rsidDel="00000000" w:rsidR="00000000" w:rsidRPr="00000000">
        <w:rPr>
          <w:sz w:val="24"/>
          <w:szCs w:val="24"/>
          <w:rtl w:val="0"/>
        </w:rPr>
        <w:t xml:space="preserve">the Bank is hereby authorized to accept all instructions given initiated through Internet Banking services from any of the above officials in respect of the Company and the above mentioned authorized officials are hereby authorized to receive login credentials sent by the Bank, for operating Internet Banking.</w:t>
      </w:r>
    </w:p>
    <w:p w:rsidR="00000000" w:rsidDel="00000000" w:rsidP="00000000" w:rsidRDefault="00000000" w:rsidRPr="00000000" w14:paraId="0000004D">
      <w:pPr>
        <w:jc w:val="both"/>
        <w:rPr>
          <w:sz w:val="24"/>
          <w:szCs w:val="24"/>
        </w:rPr>
      </w:pPr>
      <w:r w:rsidDel="00000000" w:rsidR="00000000" w:rsidRPr="00000000">
        <w:rPr>
          <w:b w:val="1"/>
          <w:sz w:val="24"/>
          <w:szCs w:val="24"/>
          <w:rtl w:val="0"/>
        </w:rPr>
        <w:t xml:space="preserve">Resolved further that</w:t>
      </w:r>
      <w:r w:rsidDel="00000000" w:rsidR="00000000" w:rsidRPr="00000000">
        <w:rPr>
          <w:rtl w:val="0"/>
        </w:rPr>
        <w:t xml:space="preserve"> </w:t>
      </w:r>
      <w:r w:rsidDel="00000000" w:rsidR="00000000" w:rsidRPr="00000000">
        <w:rPr>
          <w:sz w:val="24"/>
          <w:szCs w:val="24"/>
          <w:rtl w:val="0"/>
        </w:rPr>
        <w:t xml:space="preserve">this resolution be communicated to the Bank and shall remain in full force until notice in writing of its withdrawal, or cancellation is given to the Bank by the Company and accepted by the Bank.</w:t>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Shareholder signatures and stamp</w:t>
      </w:r>
    </w:p>
    <w:p w:rsidR="00000000" w:rsidDel="00000000" w:rsidP="00000000" w:rsidRDefault="00000000" w:rsidRPr="00000000" w14:paraId="00000052">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0376A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BF549D"/>
    <w:pPr>
      <w:spacing w:after="200" w:line="276" w:lineRule="auto"/>
      <w:ind w:left="720"/>
      <w:contextualSpacing w:val="1"/>
    </w:pPr>
  </w:style>
  <w:style w:type="character" w:styleId="ListParagraphChar" w:customStyle="1">
    <w:name w:val="List Paragraph Char"/>
    <w:basedOn w:val="DefaultParagraphFont"/>
    <w:link w:val="ListParagraph"/>
    <w:uiPriority w:val="34"/>
    <w:rsid w:val="00FC388A"/>
  </w:style>
  <w:style w:type="paragraph" w:styleId="Header">
    <w:name w:val="header"/>
    <w:basedOn w:val="Normal"/>
    <w:link w:val="HeaderChar"/>
    <w:uiPriority w:val="99"/>
    <w:unhideWhenUsed w:val="1"/>
    <w:rsid w:val="00FC388A"/>
    <w:pPr>
      <w:tabs>
        <w:tab w:val="center" w:pos="4680"/>
        <w:tab w:val="right" w:pos="9360"/>
      </w:tabs>
      <w:spacing w:after="0" w:line="240" w:lineRule="auto"/>
    </w:pPr>
  </w:style>
  <w:style w:type="character" w:styleId="HeaderChar" w:customStyle="1">
    <w:name w:val="Header Char"/>
    <w:basedOn w:val="DefaultParagraphFont"/>
    <w:link w:val="Header"/>
    <w:uiPriority w:val="99"/>
    <w:rsid w:val="00FC388A"/>
  </w:style>
  <w:style w:type="paragraph" w:styleId="Footer">
    <w:name w:val="footer"/>
    <w:basedOn w:val="Normal"/>
    <w:link w:val="FooterChar"/>
    <w:uiPriority w:val="99"/>
    <w:unhideWhenUsed w:val="1"/>
    <w:rsid w:val="00FC388A"/>
    <w:pPr>
      <w:tabs>
        <w:tab w:val="center" w:pos="4680"/>
        <w:tab w:val="right" w:pos="9360"/>
      </w:tabs>
      <w:spacing w:after="0" w:line="240" w:lineRule="auto"/>
    </w:pPr>
  </w:style>
  <w:style w:type="character" w:styleId="FooterChar" w:customStyle="1">
    <w:name w:val="Footer Char"/>
    <w:basedOn w:val="DefaultParagraphFont"/>
    <w:link w:val="Footer"/>
    <w:uiPriority w:val="99"/>
    <w:rsid w:val="00FC388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F6UMYAZkBgRM0/P9AltEd1ZC7A==">AMUW2mVawpuNhh/UluNXsrNaIJPDFyqfL9CyS9Gv5Hm9VRWqIvq5Uoja5Ys4lqoNucs5rb6w4dhbHipkFBbnsFPJYwBURnoHSTosIgnd9qylmrw7UYUJUBAv2SpeGiJPP2KlMXPyF70t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2022-12-13T07:57:00Z</dcterms:created>
  <dc:creator>Saju Jacob</dc:creator>
</cp:coreProperties>
</file>